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140"/>
              <w:left w:type="dxa" w:w="160"/>
              <w:bottom w:type="dxa" w:w="140"/>
              <w:right w:type="dxa" w:w="120"/>
            </w:tcMar>
            <w:vAlign w:val="center"/>
          </w:tcPr>
          <w:p>
            <w:pPr>
              <w:spacing w:before="80" w:after="2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8"/>
                <w:szCs w:val="38"/>
              </w:rPr>
              <w:t xml:space="preserve">RAPPORT D'INVESTIGATION OOT</w:t>
            </w:r>
          </w:p>
          <w:p>
            <w:pPr>
              <w:spacing w:before="2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BDD7EE"/>
                <w:sz w:val="28"/>
                <w:szCs w:val="28"/>
              </w:rPr>
              <w:t xml:space="preserve">ALERTE  #OOT-2026-023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480"/>
        <w:gridCol w:w="2200"/>
        <w:gridCol w:w="2480"/>
      </w:tblGrid>
      <w:tr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Date d'ouverture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18/04/2026</w:t>
            </w:r>
          </w:p>
        </w:tc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Méthode HPLC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METH-HPLC-CARD-001</w:t>
            </w:r>
          </w:p>
        </w:tc>
      </w:tr>
      <w:tr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Analyste rédacteur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R. BERKANI</w:t>
            </w:r>
          </w:p>
        </w:tc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Statut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C55A11"/>
                <w:sz w:val="20"/>
                <w:szCs w:val="20"/>
              </w:rPr>
              <w:t xml:space="preserve">EN INVESTIGATION</w:t>
            </w:r>
          </w:p>
        </w:tc>
      </w:tr>
      <w:tr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Lot produit concerné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CARD-2026-089</w:t>
            </w:r>
          </w:p>
        </w:tc>
        <w:tc>
          <w:tcPr>
            <w:tcW w:type="dxa" w:w="2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Série déclenchante</w:t>
            </w:r>
          </w:p>
        </w:tc>
        <w:tc>
          <w:tcPr>
            <w:tcW w:type="dxa" w:w="2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SR-2026-142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1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DESCRIPTION DE L'ALERTE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Paramètre surveillé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Résolution Principal/Imp_A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Référence KPI-MSP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KPI-MSP-002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Valeur observée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20"/>
                <w:szCs w:val="20"/>
              </w:rPr>
              <w:t xml:space="preserve">2,08  —  Série #SR-2026-142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Limite haute  UCL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2,62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Ligne centrale  CL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2,45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Limite basse  LCL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2,28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Signal Nelson détecté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CE4D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20"/>
                <w:szCs w:val="20"/>
              </w:rPr>
              <w:t xml:space="preserve">Test 3 — 6 points consécutifs en diminution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Contexte de la série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Série de libération de lot CARD-2026-089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75B6" w:sz="6"/>
              <w:left w:val="single" w:color="2E75B6" w:sz="6"/>
              <w:bottom w:val="single" w:color="2E75B6" w:sz="6"/>
              <w:right w:val="single" w:color="2E75B6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Règles Nelson — rappel :</w:t>
            </w:r>
          </w:p>
          <w:p>
            <w:pPr>
              <w:spacing w:before="45" w:after="45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  •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Test 1</w:t>
            </w: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 : 1 point &gt; ±3σ</w:t>
            </w:r>
          </w:p>
          <w:p>
            <w:pPr>
              <w:spacing w:before="45" w:after="45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  •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Test 2</w:t>
            </w: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 : 9 points consécutifs du même côté de la moyenne</w:t>
            </w:r>
          </w:p>
          <w:p>
            <w:pPr>
              <w:spacing w:before="45" w:after="45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  •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Test 3</w:t>
            </w: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 : 6 points consécutifs en hausse ou en baisse  ← Signal détecté</w:t>
            </w:r>
          </w:p>
          <w:p>
            <w:pPr>
              <w:spacing w:before="45" w:after="45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  •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Test 5</w:t>
            </w: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 : 2 points sur 3 &gt; ±2σ</w:t>
            </w:r>
          </w:p>
          <w:p>
            <w:pPr>
              <w:spacing w:before="45" w:after="45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  •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Test 6</w:t>
            </w: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 : 4 points sur 5 &gt; ±1σ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2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ÉVALUATION DE L'IMPACT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22"/>
                <w:szCs w:val="22"/>
              </w:rPr>
              <w:t xml:space="preserve">☑  </w:t>
            </w:r>
            <w:r>
              <w:rPr>
                <w:rFonts w:ascii="Arial" w:cs="Arial" w:eastAsia="Arial" w:hAnsi="Arial"/>
                <w:b/>
                <w:bCs/>
                <w:color w:val="111111"/>
                <w:sz w:val="20"/>
                <w:szCs w:val="20"/>
              </w:rPr>
              <w:t xml:space="preserve">Critère SST : Rs ≥ 2,0  →  2,08 ≥ 2,0  →  SST formellement PASS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22"/>
                <w:szCs w:val="22"/>
              </w:rPr>
              <w:t xml:space="preserve">☑  </w:t>
            </w:r>
            <w:r>
              <w:rPr>
                <w:rFonts w:ascii="Arial" w:cs="Arial" w:eastAsia="Arial" w:hAnsi="Arial"/>
                <w:b/>
                <w:bCs/>
                <w:color w:val="111111"/>
                <w:sz w:val="20"/>
                <w:szCs w:val="20"/>
              </w:rPr>
              <w:t xml:space="preserve">Signal statistique : tendance descendante confirmée  →  investigation requise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Résultats échantillons : analysés avant détection alerte  →  évaluation rétrospective requise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Valeur observée / Limite SST</w:t>
            </w:r>
          </w:p>
        </w:tc>
        <w:tc>
          <w:tcPr>
            <w:tcW w:type="dxa" w:w="46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Statut OOT / Impact analyse</w:t>
            </w:r>
          </w:p>
        </w:tc>
      </w:tr>
      <w:tr>
        <w:tc>
          <w:tcPr>
            <w:tcW w:type="dxa" w:w="4680"/>
            <w:tcBorders>
              <w:top w:val="single" w:color="375623" w:sz="6"/>
              <w:left w:val="single" w:color="375623" w:sz="6"/>
              <w:bottom w:val="single" w:color="375623" w:sz="6"/>
              <w:right w:val="single" w:color="375623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1"/>
                <w:szCs w:val="21"/>
              </w:rPr>
              <w:t xml:space="preserve">2,08  ≥  2,0 (spéc. USP)</w:t>
            </w:r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   →   SST PASS</w:t>
            </w:r>
          </w:p>
        </w:tc>
        <w:tc>
          <w:tcPr>
            <w:tcW w:type="dxa" w:w="4680"/>
            <w:tcBorders>
              <w:top w:val="single" w:color="C00000" w:sz="6"/>
              <w:left w:val="single" w:color="C00000" w:sz="6"/>
              <w:bottom w:val="single" w:color="C00000" w:sz="6"/>
              <w:right w:val="single" w:color="C00000" w:sz="6"/>
            </w:tcBorders>
            <w:shd w:fill="FCE4D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C00000"/>
                <w:sz w:val="21"/>
                <w:szCs w:val="21"/>
              </w:rPr>
              <w:t xml:space="preserve">Tendance descendante  ▼</w:t>
            </w:r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   →   Investigation requise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3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INVESTIGATION TECHNIQUE RÉALISÉE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200"/>
        <w:gridCol w:w="3760"/>
      </w:tblGrid>
      <w:tr>
        <w:tc>
          <w:tcPr>
            <w:tcW w:type="dxa" w:w="240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Paramètre</w:t>
            </w:r>
          </w:p>
        </w:tc>
        <w:tc>
          <w:tcPr>
            <w:tcW w:type="dxa" w:w="320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Valeur / Observation</w:t>
            </w:r>
          </w:p>
        </w:tc>
        <w:tc>
          <w:tcPr>
            <w:tcW w:type="dxa" w:w="376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Statut / Conclusion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Colonne chromatographique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947 injections cumulées
(limite qualifiée : 1 000)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C55A11"/>
                <w:sz w:val="19"/>
                <w:szCs w:val="19"/>
              </w:rPr>
              <w:t xml:space="preserve">⚠ Usure suspectée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Phase mobile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Composition vérifiée
Dégazage OK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9"/>
                <w:szCs w:val="19"/>
              </w:rPr>
              <w:t xml:space="preserve">☑ Conforme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Température four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35,2 °C
(spéc. 35 ± 2 °C)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9"/>
                <w:szCs w:val="19"/>
              </w:rPr>
              <w:t xml:space="preserve">☑ Conforme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Pression système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182 bar
(vs 165 bar en début de vie)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C55A11"/>
                <w:sz w:val="19"/>
                <w:szCs w:val="19"/>
              </w:rPr>
              <w:t xml:space="preserve">⚠ Colmatage probable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Chromatogramme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Élargissement des pics
Baseline légèrement bruitée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C55A11"/>
                <w:sz w:val="19"/>
                <w:szCs w:val="19"/>
              </w:rPr>
              <w:t xml:space="preserve">⚠ Confirmation usure</w:t>
            </w:r>
          </w:p>
        </w:tc>
      </w:tr>
      <w:tr>
        <w:tc>
          <w:tcPr>
            <w:tcW w:type="dxa" w:w="24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9"/>
                <w:szCs w:val="19"/>
              </w:rPr>
              <w:t xml:space="preserve">Maintenance préventive</w:t>
            </w:r>
          </w:p>
        </w:tc>
        <w:tc>
          <w:tcPr>
            <w:tcW w:type="dxa" w:w="3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Dernière MP : 02/03/2026</w:t>
            </w:r>
          </w:p>
        </w:tc>
        <w:tc>
          <w:tcPr>
            <w:tcW w:type="dxa" w:w="37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9"/>
                <w:szCs w:val="19"/>
              </w:rPr>
              <w:t xml:space="preserve">☑ À jour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4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CAUSE RACINE IDENTIFIÉE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4200"/>
        <w:gridCol w:w="480"/>
        <w:gridCol w:w="4200"/>
      </w:tblGrid>
      <w:tr>
        <w:tc>
          <w:tcPr>
            <w:tcW w:type="dxa" w:w="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Cause instrumentale / équipement</w:t>
            </w:r>
          </w:p>
        </w:tc>
        <w:tc>
          <w:tcPr>
            <w:tcW w:type="dxa" w:w="48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2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Cause méthode / procédure</w:t>
            </w:r>
          </w:p>
        </w:tc>
      </w:tr>
      <w:tr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☑ RETENUE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Vieillissement colonne (usure phase stationnaire)</w:t>
            </w:r>
          </w:p>
        </w:tc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Erreur préparation phase mobile</w:t>
            </w:r>
          </w:p>
        </w:tc>
      </w:tr>
      <w:tr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Colmatage frit / contamination</w:t>
            </w:r>
          </w:p>
        </w:tc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Modification procédure non documentée</w:t>
            </w:r>
          </w:p>
        </w:tc>
      </w:tr>
      <w:tr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Dérive pompe / débit</w:t>
            </w:r>
          </w:p>
        </w:tc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Réactifs non conformes</w:t>
            </w:r>
          </w:p>
        </w:tc>
      </w:tr>
      <w:tr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Dérive détecteur UV / lampe</w:t>
            </w:r>
          </w:p>
        </w:tc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Cause environnementale (T°, humidité)</w:t>
            </w:r>
          </w:p>
        </w:tc>
      </w:tr>
      <w:tr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Dérive thermostat four</w:t>
            </w:r>
          </w:p>
        </w:tc>
        <w:tc>
          <w:tcPr>
            <w:tcW w:type="dxa" w:w="4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☐</w:t>
            </w:r>
          </w:p>
        </w:tc>
        <w:tc>
          <w:tcPr>
            <w:tcW w:type="dxa" w:w="4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Cause liée à l'opérateur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C00000" w:sz="6"/>
              <w:left w:val="single" w:color="C00000" w:sz="6"/>
              <w:bottom w:val="single" w:color="C00000" w:sz="6"/>
              <w:right w:val="single" w:color="C00000" w:sz="6"/>
            </w:tcBorders>
            <w:shd w:fill="C00000" w:val="clear"/>
            <w:tcMar>
              <w:top w:type="dxa" w:w="120"/>
              <w:left w:type="dxa" w:w="160"/>
              <w:bottom w:type="dxa" w:w="12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Cause racine
confirmée</w:t>
            </w:r>
          </w:p>
        </w:tc>
        <w:tc>
          <w:tcPr>
            <w:tcW w:type="dxa" w:w="7160"/>
            <w:tcBorders>
              <w:top w:val="single" w:color="C00000" w:sz="6"/>
              <w:left w:val="single" w:color="C00000" w:sz="6"/>
              <w:bottom w:val="single" w:color="C00000" w:sz="6"/>
              <w:right w:val="single" w:color="C00000" w:sz="6"/>
            </w:tcBorders>
            <w:shd w:fill="FCE4D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Vieillissement de la colonne chromatographique : usure progressive de la phase stationnaire confirmée par l'analyse du chromatogramme (élargissement pics), la pression système (+17 bar vs début de vie) et le compteur d'injections (947/1000).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5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ACTIONS CORRECTIVES ET PRÉVENTIVES (CAPA)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"/>
        <w:gridCol w:w="3360"/>
        <w:gridCol w:w="2200"/>
        <w:gridCol w:w="1460"/>
        <w:gridCol w:w="2000"/>
      </w:tblGrid>
      <w:tr>
        <w:tc>
          <w:tcPr>
            <w:tcW w:type="dxa" w:w="34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#</w:t>
            </w:r>
          </w:p>
        </w:tc>
        <w:tc>
          <w:tcPr>
            <w:tcW w:type="dxa" w:w="336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Action</w:t>
            </w:r>
          </w:p>
        </w:tc>
        <w:tc>
          <w:tcPr>
            <w:tcW w:type="dxa" w:w="220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Responsable</w:t>
            </w:r>
          </w:p>
        </w:tc>
        <w:tc>
          <w:tcPr>
            <w:tcW w:type="dxa" w:w="146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Échéance</w:t>
            </w:r>
          </w:p>
        </w:tc>
        <w:tc>
          <w:tcPr>
            <w:tcW w:type="dxa" w:w="200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Statut</w:t>
            </w:r>
          </w:p>
        </w:tc>
      </w:tr>
      <w:tr>
        <w:tc>
          <w:tcPr>
            <w:tcW w:type="dxa" w:w="34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9"/>
                <w:szCs w:val="19"/>
              </w:rPr>
              <w:t xml:space="preserve">1</w:t>
            </w:r>
          </w:p>
        </w:tc>
        <w:tc>
          <w:tcPr>
            <w:tcW w:type="dxa" w:w="3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Remplacement immédiat colonne par lot qualifié XB2024-091</w:t>
            </w:r>
          </w:p>
        </w:tc>
        <w:tc>
          <w:tcPr>
            <w:tcW w:type="dxa" w:w="2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R. BERKANI</w:t>
            </w:r>
          </w:p>
        </w:tc>
        <w:tc>
          <w:tcPr>
            <w:tcW w:type="dxa" w:w="14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18/04/2026</w:t>
            </w:r>
          </w:p>
        </w:tc>
        <w:tc>
          <w:tcPr>
            <w:tcW w:type="dxa" w:w="20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9"/>
                <w:szCs w:val="19"/>
              </w:rPr>
              <w:t xml:space="preserve">☑ Réalisé</w:t>
            </w:r>
          </w:p>
        </w:tc>
      </w:tr>
      <w:tr>
        <w:tc>
          <w:tcPr>
            <w:tcW w:type="dxa" w:w="34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9"/>
                <w:szCs w:val="19"/>
              </w:rPr>
              <w:t xml:space="preserve">2</w:t>
            </w:r>
          </w:p>
        </w:tc>
        <w:tc>
          <w:tcPr>
            <w:tcW w:type="dxa" w:w="3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Ré-exécution SST avec nouvelle colonne → Rs = 2,46</w:t>
            </w:r>
          </w:p>
        </w:tc>
        <w:tc>
          <w:tcPr>
            <w:tcW w:type="dxa" w:w="2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R. BERKANI</w:t>
            </w:r>
          </w:p>
        </w:tc>
        <w:tc>
          <w:tcPr>
            <w:tcW w:type="dxa" w:w="14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18/04/2026</w:t>
            </w:r>
          </w:p>
        </w:tc>
        <w:tc>
          <w:tcPr>
            <w:tcW w:type="dxa" w:w="20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9"/>
                <w:szCs w:val="19"/>
              </w:rPr>
              <w:t xml:space="preserve">☑ Réalisé</w:t>
            </w:r>
          </w:p>
        </w:tc>
      </w:tr>
      <w:tr>
        <w:tc>
          <w:tcPr>
            <w:tcW w:type="dxa" w:w="34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9"/>
                <w:szCs w:val="19"/>
              </w:rPr>
              <w:t xml:space="preserve">3</w:t>
            </w:r>
          </w:p>
        </w:tc>
        <w:tc>
          <w:tcPr>
            <w:tcW w:type="dxa" w:w="3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Révision planning remplacement colonne : toutes les 900 injections (vs 1 000)</w:t>
            </w:r>
          </w:p>
        </w:tc>
        <w:tc>
          <w:tcPr>
            <w:tcW w:type="dxa" w:w="2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Resp. Méthodes</w:t>
            </w:r>
          </w:p>
        </w:tc>
        <w:tc>
          <w:tcPr>
            <w:tcW w:type="dxa" w:w="14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8FB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30/04/2026</w:t>
            </w:r>
          </w:p>
        </w:tc>
        <w:tc>
          <w:tcPr>
            <w:tcW w:type="dxa" w:w="20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55A11"/>
                <w:sz w:val="19"/>
                <w:szCs w:val="19"/>
              </w:rPr>
              <w:t xml:space="preserve">☐ En cours</w:t>
            </w:r>
          </w:p>
        </w:tc>
      </w:tr>
      <w:tr>
        <w:tc>
          <w:tcPr>
            <w:tcW w:type="dxa" w:w="34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9"/>
                <w:szCs w:val="19"/>
              </w:rPr>
              <w:t xml:space="preserve">4</w:t>
            </w:r>
          </w:p>
        </w:tc>
        <w:tc>
          <w:tcPr>
            <w:tcW w:type="dxa" w:w="3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Formation analystes : signes précoces d'usure colonne</w:t>
            </w:r>
          </w:p>
        </w:tc>
        <w:tc>
          <w:tcPr>
            <w:tcW w:type="dxa" w:w="22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Resp. Formation QC</w:t>
            </w:r>
          </w:p>
        </w:tc>
        <w:tc>
          <w:tcPr>
            <w:tcW w:type="dxa" w:w="14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15/05/2026</w:t>
            </w:r>
          </w:p>
        </w:tc>
        <w:tc>
          <w:tcPr>
            <w:tcW w:type="dxa" w:w="200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19"/>
                <w:szCs w:val="19"/>
              </w:rPr>
              <w:t xml:space="preserve">☐ Planifiée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6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ÉVALUATION DE L'IMPACT SUR LES RÉSULTATS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Lot(s) concerné(s)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CARD-2026-089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Échantillons ré-analysés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3 échantillons représentatifs — nouvelle colonne XB2024-091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Différences observées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&lt; 0,5 %  (seuil d'acceptation : 2,0 %)</w:t>
            </w:r>
          </w:p>
        </w:tc>
      </w:tr>
      <w:tr>
        <w:tc>
          <w:tcPr>
            <w:tcW w:type="dxa" w:w="280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DEEAF1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Impact jugé</w:t>
            </w:r>
          </w:p>
        </w:tc>
        <w:tc>
          <w:tcPr>
            <w:tcW w:type="dxa" w:w="6560"/>
            <w:tcBorders>
              <w:top w:val="single" w:color="BDD7EE" w:sz="6"/>
              <w:left w:val="single" w:color="BDD7EE" w:sz="6"/>
              <w:bottom w:val="single" w:color="BDD7EE" w:sz="6"/>
              <w:right w:val="single" w:color="BDD7EE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20"/>
                <w:szCs w:val="20"/>
              </w:rPr>
              <w:t xml:space="preserve">Négligeable — confirmé par ré-analyses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Décision lot</w:t>
            </w:r>
          </w:p>
        </w:tc>
        <w:tc>
          <w:tcPr>
            <w:tcW w:type="dxa" w:w="46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Justification</w:t>
            </w:r>
          </w:p>
        </w:tc>
      </w:tr>
      <w:tr>
        <w:tc>
          <w:tcPr>
            <w:tcW w:type="dxa" w:w="4680"/>
            <w:tcBorders>
              <w:top w:val="single" w:color="375623" w:sz="6"/>
              <w:left w:val="single" w:color="375623" w:sz="6"/>
              <w:bottom w:val="single" w:color="375623" w:sz="6"/>
              <w:right w:val="single" w:color="375623" w:sz="6"/>
            </w:tcBorders>
            <w:shd w:fill="E2EFDA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100" w:after="100"/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LIBÉRATION MAINTENUE  ✅</w:t>
            </w:r>
          </w:p>
        </w:tc>
        <w:tc>
          <w:tcPr>
            <w:tcW w:type="dxa" w:w="468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Différences &lt; 0,5 % entre colonne dégradée et colonne neuve. Impact sur résultats négligeable. Documentation dans dossier de libération lot CARD-2026-089.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7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CONCLUSION ET CLÔTURE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20"/>
            </w:tcMar>
            <w:vAlign w:val="center"/>
          </w:tcPr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Alerte OOT investiguée et close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Actions correctives documentées et mises en oeuvre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Impact sur résultats évalué — décision lot documentée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Plan de surveillance MSP mis à jour (planning colonne révisé)</w:t>
            </w:r>
          </w:p>
          <w:p>
            <w:pPr>
              <w:spacing w:before="50" w:after="50"/>
              <w:jc w:val="left"/>
            </w:pPr>
            <w:r>
              <w:rPr>
                <w:rFonts w:ascii="Arial" w:cs="Arial" w:eastAsia="Arial" w:hAnsi="Arial"/>
                <w:b/>
                <w:bCs/>
                <w:color w:val="888888"/>
                <w:sz w:val="22"/>
                <w:szCs w:val="22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color w:val="555555"/>
                <w:sz w:val="20"/>
                <w:szCs w:val="20"/>
              </w:rPr>
              <w:t xml:space="preserve">Prochaine revue MSP : après Série #SR-2026-150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8880"/>
      </w:tblGrid>
      <w:tr>
        <w:tc>
          <w:tcPr>
            <w:tcW w:type="dxa" w:w="4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8</w:t>
            </w:r>
          </w:p>
        </w:tc>
        <w:tc>
          <w:tcPr>
            <w:tcW w:type="dxa" w:w="888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80"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APPROBATIONS ET SIGNATURES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Analyste</w:t>
            </w:r>
          </w:p>
        </w:tc>
        <w:tc>
          <w:tcPr>
            <w:tcW w:type="dxa" w:w="312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Responsable QC</w:t>
            </w:r>
          </w:p>
        </w:tc>
        <w:tc>
          <w:tcPr>
            <w:tcW w:type="dxa" w:w="3120"/>
            <w:tcBorders>
              <w:top w:val="single" w:color="1F3864" w:sz="6"/>
              <w:left w:val="single" w:color="1F3864" w:sz="6"/>
              <w:bottom w:val="single" w:color="1F3864" w:sz="6"/>
              <w:right w:val="single" w:color="1F3864" w:sz="6"/>
            </w:tcBorders>
            <w:shd w:fill="1F3864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Directeur Qualité</w:t>
            </w:r>
          </w:p>
        </w:tc>
      </w:tr>
      <w:tr>
        <w:tc>
          <w:tcPr>
            <w:tcW w:type="dxa" w:w="312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top"/>
          </w:tcPr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Nom :  L. D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Date : 18/04/2026</w:t>
            </w:r>
          </w:p>
          <w:p>
            <w:pPr>
              <w:spacing w:before="60" w:after="20"/>
              <w:jc w:val="left"/>
            </w:pPr>
            <w:r>
              <w:rPr>
                <w:rFonts w:ascii="Arial" w:cs="Arial" w:eastAsia="Arial" w:hAnsi="Arial"/>
                <w:color w:val="888888"/>
                <w:sz w:val="19"/>
                <w:szCs w:val="19"/>
              </w:rPr>
              <w:t xml:space="preserve">Signature : _______________</w:t>
            </w:r>
          </w:p>
        </w:tc>
        <w:tc>
          <w:tcPr>
            <w:tcW w:type="dxa" w:w="312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2F2F2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top"/>
          </w:tcPr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Nom :  Dr. A. M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color w:val="000000"/>
                <w:sz w:val="19"/>
                <w:szCs w:val="19"/>
              </w:rPr>
              <w:t xml:space="preserve">Date : 18/04/2026</w:t>
            </w:r>
          </w:p>
          <w:p>
            <w:pPr>
              <w:spacing w:before="60" w:after="20"/>
              <w:jc w:val="left"/>
            </w:pPr>
            <w:r>
              <w:rPr>
                <w:rFonts w:ascii="Arial" w:cs="Arial" w:eastAsia="Arial" w:hAnsi="Arial"/>
                <w:color w:val="888888"/>
                <w:sz w:val="19"/>
                <w:szCs w:val="19"/>
              </w:rPr>
              <w:t xml:space="preserve">Signature : _______________</w:t>
            </w:r>
          </w:p>
        </w:tc>
        <w:tc>
          <w:tcPr>
            <w:tcW w:type="dxa" w:w="312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20"/>
            </w:tcMar>
            <w:vAlign w:val="top"/>
          </w:tcPr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color w:val="888888"/>
                <w:sz w:val="19"/>
                <w:szCs w:val="19"/>
              </w:rPr>
              <w:t xml:space="preserve">Nom :  ___________________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color w:val="888888"/>
                <w:sz w:val="19"/>
                <w:szCs w:val="19"/>
              </w:rPr>
              <w:t xml:space="preserve">Date : ___________________</w:t>
            </w:r>
          </w:p>
          <w:p>
            <w:pPr>
              <w:spacing w:before="60" w:after="20"/>
              <w:jc w:val="left"/>
            </w:pPr>
            <w:r>
              <w:rPr>
                <w:rFonts w:ascii="Arial" w:cs="Arial" w:eastAsia="Arial" w:hAnsi="Arial"/>
                <w:color w:val="888888"/>
                <w:sz w:val="19"/>
                <w:szCs w:val="19"/>
              </w:rPr>
              <w:t xml:space="preserve">Signature : _______________</w:t>
            </w:r>
          </w:p>
        </w:tc>
      </w:tr>
    </w:tbl>
    <w:p>
      <w:pPr>
        <w:spacing w:before="0" w:after="0"/>
      </w:pPr>
      <w:r>
        <w:rPr>
          <w:sz w:val="8"/>
          <w:szCs w:val="8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shd w:fill="F2F2F2" w:val="clear"/>
            <w:tcMar>
              <w:top w:type="dxa" w:w="60"/>
              <w:left w:type="dxa" w:w="160"/>
              <w:bottom w:type="dxa" w:w="60"/>
              <w:right w:type="dxa" w:w="120"/>
            </w:tcMar>
            <w:vAlign w:val="center"/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Modèle basé sur l'alerte OOT-2026-023 — À adapter selon le contexte de chaque investigation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6" w:space="4"/>
      </w:pBdr>
      <w:tabs>
        <w:tab w:val="right" w:pos="9026"/>
      </w:tabs>
      <w:spacing w:before="80"/>
    </w:pPr>
    <w:r>
      <w:rPr>
        <w:rFonts w:ascii="Arial" w:cs="Arial" w:eastAsia="Arial" w:hAnsi="Arial"/>
        <w:color w:val="888888"/>
        <w:sz w:val="17"/>
        <w:szCs w:val="17"/>
      </w:rPr>
      <w:t xml:space="preserve">Document Qualité Interne — Confidentiel — Ne pas diffuser sans autorisation</w:t>
    </w:r>
    <w:r>
      <w:rPr>
        <w:rFonts w:ascii="Arial" w:cs="Arial" w:eastAsia="Arial" w:hAnsi="Arial"/>
        <w:color w:val="888888"/>
        <w:sz w:val="17"/>
        <w:szCs w:val="17"/>
      </w:rPr>
      <w:t xml:space="preserve">	Page </w:t>
    </w:r>
    <w:r>
      <w:rPr>
        <w:rFonts w:ascii="Arial" w:cs="Arial" w:eastAsia="Arial" w:hAnsi="Arial"/>
        <w:color w:val="888888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7"/>
        <w:szCs w:val="17"/>
      </w:rPr>
      <w:t xml:space="preserve"> / </w:t>
    </w:r>
    <w:r>
      <w:rPr>
        <w:rFonts w:ascii="Arial" w:cs="Arial" w:eastAsia="Arial" w:hAnsi="Arial"/>
        <w:color w:val="888888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500"/>
      <w:gridCol w:w="5960"/>
      <w:gridCol w:w="1500"/>
      <w:gridCol w:w="1400"/>
    </w:tblGrid>
    <w:tr>
      <w:tc>
        <w:tcPr>
          <w:tcW w:type="dxa" w:w="500"/>
          <w:tcBorders>
            <w:top w:val="single" w:color="C00000" w:sz="6"/>
            <w:left w:val="single" w:color="C00000" w:sz="6"/>
            <w:bottom w:val="single" w:color="C00000" w:sz="6"/>
            <w:right w:val="single" w:color="C00000" w:sz="6"/>
          </w:tcBorders>
          <w:shd w:fill="C00000" w:val="clear"/>
          <w:tcMar>
            <w:top w:type="dxa" w:w="80"/>
            <w:left w:type="dxa" w:w="160"/>
            <w:bottom w:type="dxa" w:w="80"/>
            <w:right w:type="dxa" w:w="120"/>
          </w:tcMar>
          <w:vAlign w:val="center"/>
        </w:tcPr>
        <w:p>
          <w:pPr>
            <w:spacing w:before="60" w:after="60"/>
            <w:jc w:val="center"/>
          </w:pPr>
          <w:r>
            <w:rPr>
              <w:rFonts w:ascii="Arial" w:cs="Arial" w:eastAsia="Arial" w:hAnsi="Arial"/>
              <w:b/>
              <w:bCs/>
              <w:color w:val="FFFFFF"/>
              <w:sz w:val="22"/>
              <w:szCs w:val="22"/>
            </w:rPr>
            <w:t xml:space="preserve">OOT</w:t>
          </w:r>
        </w:p>
      </w:tc>
      <w:tc>
        <w:tcPr>
          <w:tcW w:type="dxa" w:w="5960"/>
          <w:tcBorders>
            <w:top w:val="single" w:color="BDD7EE" w:sz="6"/>
            <w:left w:val="single" w:color="BDD7EE" w:sz="6"/>
            <w:bottom w:val="single" w:color="BDD7EE" w:sz="6"/>
            <w:right w:val="single" w:color="BDD7EE" w:sz="6"/>
          </w:tcBorders>
          <w:shd w:fill="DEEAF1" w:val="clear"/>
          <w:tcMar>
            <w:top w:type="dxa" w:w="80"/>
            <w:left w:type="dxa" w:w="160"/>
            <w:bottom w:type="dxa" w:w="80"/>
            <w:right w:type="dxa" w:w="120"/>
          </w:tcMar>
          <w:vAlign w:val="center"/>
        </w:tcPr>
        <w:p>
          <w:pPr>
            <w:spacing w:before="60" w:after="60"/>
            <w:jc w:val="left"/>
          </w:pPr>
          <w:r>
            <w:rPr>
              <w:rFonts w:ascii="Arial" w:cs="Arial" w:eastAsia="Arial" w:hAnsi="Arial"/>
              <w:b/>
              <w:bCs/>
              <w:color w:val="1F3864"/>
              <w:sz w:val="20"/>
              <w:szCs w:val="20"/>
            </w:rPr>
            <w:t xml:space="preserve">RAPPORT D'INVESTIGATION OUT-OF-TREND (OOT)</w:t>
          </w:r>
        </w:p>
      </w:tc>
      <w:tc>
        <w:tcPr>
          <w:tcW w:type="dxa" w:w="1500"/>
          <w:tcBorders>
            <w:top w:val="single" w:color="CCCCCC" w:sz="6"/>
            <w:left w:val="single" w:color="CCCCCC" w:sz="6"/>
            <w:bottom w:val="single" w:color="CCCCCC" w:sz="6"/>
            <w:right w:val="single" w:color="CCCCCC" w:sz="6"/>
          </w:tcBorders>
          <w:shd w:fill="F2F2F2" w:val="clear"/>
          <w:tcMar>
            <w:top w:type="dxa" w:w="80"/>
            <w:left w:type="dxa" w:w="160"/>
            <w:bottom w:type="dxa" w:w="80"/>
            <w:right w:type="dxa" w:w="120"/>
          </w:tcMar>
          <w:vAlign w:val="center"/>
        </w:tcPr>
        <w:p>
          <w:pPr>
            <w:spacing w:before="60" w:after="60"/>
            <w:jc w:val="center"/>
          </w:pPr>
          <w:r>
            <w:rPr>
              <w:rFonts w:ascii="Arial" w:cs="Arial" w:eastAsia="Arial" w:hAnsi="Arial"/>
              <w:color w:val="666666"/>
              <w:sz w:val="17"/>
              <w:szCs w:val="17"/>
            </w:rPr>
            <w:t xml:space="preserve">Réf : FR-QC-OOT-001</w:t>
          </w:r>
        </w:p>
      </w:tc>
      <w:tc>
        <w:tcPr>
          <w:tcW w:type="dxa" w:w="1400"/>
          <w:tcBorders>
            <w:top w:val="single" w:color="CCCCCC" w:sz="6"/>
            <w:left w:val="single" w:color="CCCCCC" w:sz="6"/>
            <w:bottom w:val="single" w:color="CCCCCC" w:sz="6"/>
            <w:right w:val="single" w:color="CCCCCC" w:sz="6"/>
          </w:tcBorders>
          <w:shd w:fill="F2F2F2" w:val="clear"/>
          <w:tcMar>
            <w:top w:type="dxa" w:w="80"/>
            <w:left w:type="dxa" w:w="160"/>
            <w:bottom w:type="dxa" w:w="80"/>
            <w:right w:type="dxa" w:w="120"/>
          </w:tcMar>
          <w:vAlign w:val="center"/>
        </w:tcPr>
        <w:p>
          <w:pPr>
            <w:spacing w:before="60" w:after="60"/>
            <w:jc w:val="center"/>
          </w:pPr>
          <w:r>
            <w:rPr>
              <w:rFonts w:ascii="Arial" w:cs="Arial" w:eastAsia="Arial" w:hAnsi="Arial"/>
              <w:color w:val="666666"/>
              <w:sz w:val="17"/>
              <w:szCs w:val="17"/>
            </w:rPr>
            <w:t xml:space="preserve">Version :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2026-03-15T10:03:20.116Z</dcterms:created>
  <dcterms:modified xsi:type="dcterms:W3CDTF">2026-03-15T10:03:20.117Z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